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AC" w:rsidRPr="00D22C45" w:rsidRDefault="006344AC" w:rsidP="006344AC">
      <w:pPr>
        <w:jc w:val="both"/>
        <w:rPr>
          <w:rFonts w:cs="Arial"/>
          <w:bCs/>
          <w:spacing w:val="-3"/>
          <w:sz w:val="22"/>
          <w:szCs w:val="22"/>
        </w:rPr>
      </w:pPr>
      <w:bookmarkStart w:id="0" w:name="_GoBack"/>
      <w:bookmarkEnd w:id="0"/>
    </w:p>
    <w:p w:rsidR="006344AC" w:rsidRPr="00D22C45" w:rsidRDefault="006344AC" w:rsidP="006344AC">
      <w:pPr>
        <w:numPr>
          <w:ilvl w:val="0"/>
          <w:numId w:val="1"/>
        </w:numPr>
        <w:tabs>
          <w:tab w:val="clear" w:pos="720"/>
          <w:tab w:val="left" w:pos="567"/>
        </w:tabs>
        <w:ind w:left="567" w:hanging="567"/>
        <w:jc w:val="both"/>
        <w:rPr>
          <w:rFonts w:cs="Arial"/>
          <w:sz w:val="22"/>
          <w:szCs w:val="22"/>
        </w:rPr>
      </w:pPr>
      <w:r w:rsidRPr="00D22C45">
        <w:rPr>
          <w:rFonts w:cs="Arial"/>
          <w:sz w:val="22"/>
          <w:szCs w:val="22"/>
        </w:rPr>
        <w:t>Following initiation by the Standing Committee of Attorneys-General (SCAG) in 2006, the Council of Australian Governments</w:t>
      </w:r>
      <w:r w:rsidRPr="00D22C45" w:rsidDel="00073A6E">
        <w:rPr>
          <w:rFonts w:cs="Arial"/>
          <w:sz w:val="22"/>
          <w:szCs w:val="22"/>
        </w:rPr>
        <w:t xml:space="preserve"> </w:t>
      </w:r>
      <w:r w:rsidRPr="00D22C45">
        <w:rPr>
          <w:rFonts w:cs="Arial"/>
          <w:sz w:val="22"/>
          <w:szCs w:val="22"/>
        </w:rPr>
        <w:t>agreed to proceed with the reform of Australian personal property securities law.  An intergovernmental agreement has been signed to this effect by all Australian jurisdictions.</w:t>
      </w:r>
    </w:p>
    <w:p w:rsidR="006344AC" w:rsidRPr="00D22C45" w:rsidRDefault="006344AC" w:rsidP="006344AC">
      <w:pPr>
        <w:tabs>
          <w:tab w:val="left" w:pos="567"/>
        </w:tabs>
        <w:jc w:val="both"/>
        <w:rPr>
          <w:rFonts w:cs="Arial"/>
          <w:sz w:val="22"/>
          <w:szCs w:val="22"/>
        </w:rPr>
      </w:pPr>
    </w:p>
    <w:p w:rsidR="006344AC" w:rsidRPr="00D22C45" w:rsidRDefault="006344AC" w:rsidP="006344AC">
      <w:pPr>
        <w:numPr>
          <w:ilvl w:val="0"/>
          <w:numId w:val="1"/>
        </w:numPr>
        <w:tabs>
          <w:tab w:val="clear" w:pos="720"/>
          <w:tab w:val="left" w:pos="567"/>
        </w:tabs>
        <w:ind w:left="567" w:hanging="567"/>
        <w:jc w:val="both"/>
        <w:rPr>
          <w:rFonts w:cs="Arial"/>
          <w:sz w:val="22"/>
          <w:szCs w:val="22"/>
        </w:rPr>
      </w:pPr>
      <w:r w:rsidRPr="00D22C45">
        <w:rPr>
          <w:rFonts w:cs="Arial"/>
          <w:sz w:val="22"/>
          <w:szCs w:val="22"/>
        </w:rPr>
        <w:t xml:space="preserve">Under the intergovernmental agreement, states and territories agreed to refer power to the Commonwealth to regulate personal property securities.  In </w:t>
      </w:r>
      <w:smartTag w:uri="urn:schemas-microsoft-com:office:smarttags" w:element="PersonName">
        <w:smartTag w:uri="urn:schemas-microsoft-com:office:smarttags" w:element="place">
          <w:r w:rsidRPr="00D22C45">
            <w:rPr>
              <w:rFonts w:cs="Arial"/>
              <w:sz w:val="22"/>
              <w:szCs w:val="22"/>
            </w:rPr>
            <w:t>Queensland</w:t>
          </w:r>
        </w:smartTag>
      </w:smartTag>
      <w:r w:rsidRPr="00D22C45">
        <w:rPr>
          <w:rFonts w:cs="Arial"/>
          <w:sz w:val="22"/>
          <w:szCs w:val="22"/>
        </w:rPr>
        <w:t xml:space="preserve"> this was achieved by the </w:t>
      </w:r>
      <w:r w:rsidRPr="00D22C45">
        <w:rPr>
          <w:rFonts w:cs="Arial"/>
          <w:i/>
          <w:sz w:val="22"/>
          <w:szCs w:val="22"/>
        </w:rPr>
        <w:t>Personal Property Securities (Commonwealth Powers) Act 2009</w:t>
      </w:r>
      <w:r w:rsidRPr="00D22C45">
        <w:rPr>
          <w:rFonts w:cs="Arial"/>
          <w:sz w:val="22"/>
          <w:szCs w:val="22"/>
        </w:rPr>
        <w:t>.</w:t>
      </w:r>
    </w:p>
    <w:p w:rsidR="006344AC" w:rsidRPr="00D22C45" w:rsidRDefault="006344AC" w:rsidP="006344AC">
      <w:pPr>
        <w:tabs>
          <w:tab w:val="left" w:pos="567"/>
        </w:tabs>
        <w:jc w:val="both"/>
        <w:rPr>
          <w:rFonts w:cs="Arial"/>
          <w:sz w:val="22"/>
          <w:szCs w:val="22"/>
        </w:rPr>
      </w:pPr>
    </w:p>
    <w:p w:rsidR="006344AC" w:rsidRPr="00D22C45" w:rsidRDefault="006344AC" w:rsidP="006344AC">
      <w:pPr>
        <w:numPr>
          <w:ilvl w:val="0"/>
          <w:numId w:val="1"/>
        </w:numPr>
        <w:tabs>
          <w:tab w:val="clear" w:pos="720"/>
          <w:tab w:val="left" w:pos="567"/>
        </w:tabs>
        <w:ind w:left="567" w:hanging="567"/>
        <w:jc w:val="both"/>
        <w:rPr>
          <w:rFonts w:cs="Arial"/>
          <w:sz w:val="22"/>
          <w:szCs w:val="22"/>
        </w:rPr>
      </w:pPr>
      <w:r w:rsidRPr="00D22C45">
        <w:rPr>
          <w:rFonts w:cs="Arial"/>
          <w:sz w:val="22"/>
          <w:szCs w:val="22"/>
        </w:rPr>
        <w:t>Personal property securities law reform will benefit businesses by reducing the complexity of the multiple laws that currently exist, open up finance options and lower finance costs.  Businesses and consumers will benefit from a greater surety that they are buying goods free of encumbrances, and reduced security interest registration and search fees on the new single, national register.</w:t>
      </w:r>
    </w:p>
    <w:p w:rsidR="006344AC" w:rsidRPr="00D22C45" w:rsidRDefault="006344AC" w:rsidP="006344AC">
      <w:pPr>
        <w:tabs>
          <w:tab w:val="left" w:pos="567"/>
        </w:tabs>
        <w:jc w:val="both"/>
        <w:rPr>
          <w:rFonts w:cs="Arial"/>
          <w:sz w:val="22"/>
          <w:szCs w:val="22"/>
        </w:rPr>
      </w:pPr>
    </w:p>
    <w:p w:rsidR="006344AC" w:rsidRPr="00D22C45" w:rsidRDefault="006344AC" w:rsidP="006344AC">
      <w:pPr>
        <w:numPr>
          <w:ilvl w:val="0"/>
          <w:numId w:val="1"/>
        </w:numPr>
        <w:tabs>
          <w:tab w:val="clear" w:pos="720"/>
          <w:tab w:val="left" w:pos="567"/>
        </w:tabs>
        <w:ind w:left="567" w:hanging="567"/>
        <w:jc w:val="both"/>
        <w:rPr>
          <w:rFonts w:cs="Arial"/>
          <w:sz w:val="22"/>
          <w:szCs w:val="22"/>
        </w:rPr>
      </w:pPr>
      <w:r w:rsidRPr="00D22C45">
        <w:rPr>
          <w:rFonts w:cs="Arial"/>
          <w:sz w:val="22"/>
          <w:szCs w:val="22"/>
        </w:rPr>
        <w:t xml:space="preserve">To transition to the national scheme, the Personal Property Securities (Ancillary Provisions) Bill 2010 will cease the operations of the Register of Encumbered Vehicles, Bills of Sale Register, Liens on Sugar Cane Crops Register and the Register of Cooperative Charges.  These Registers currently form the relevant existing </w:t>
      </w:r>
      <w:smartTag w:uri="urn:schemas-microsoft-com:office:smarttags" w:element="PersonName">
        <w:smartTag w:uri="urn:schemas-microsoft-com:office:smarttags" w:element="place">
          <w:r w:rsidRPr="00D22C45">
            <w:rPr>
              <w:rFonts w:cs="Arial"/>
              <w:sz w:val="22"/>
              <w:szCs w:val="22"/>
            </w:rPr>
            <w:t>Queensland</w:t>
          </w:r>
        </w:smartTag>
      </w:smartTag>
      <w:r w:rsidRPr="00D22C45">
        <w:rPr>
          <w:rFonts w:cs="Arial"/>
          <w:sz w:val="22"/>
          <w:szCs w:val="22"/>
        </w:rPr>
        <w:t xml:space="preserve"> personal property securities registers.</w:t>
      </w:r>
    </w:p>
    <w:p w:rsidR="006344AC" w:rsidRPr="00D22C45" w:rsidRDefault="006344AC" w:rsidP="006344AC">
      <w:pPr>
        <w:jc w:val="both"/>
        <w:rPr>
          <w:rFonts w:cs="Arial"/>
          <w:bCs/>
          <w:spacing w:val="-3"/>
          <w:sz w:val="22"/>
          <w:szCs w:val="22"/>
        </w:rPr>
      </w:pPr>
    </w:p>
    <w:p w:rsidR="006344AC" w:rsidRPr="00D22C45" w:rsidRDefault="006344AC" w:rsidP="006344AC">
      <w:pPr>
        <w:numPr>
          <w:ilvl w:val="0"/>
          <w:numId w:val="1"/>
        </w:numPr>
        <w:tabs>
          <w:tab w:val="clear" w:pos="720"/>
          <w:tab w:val="left" w:pos="567"/>
        </w:tabs>
        <w:ind w:left="567" w:hanging="567"/>
        <w:jc w:val="both"/>
        <w:rPr>
          <w:rFonts w:cs="Arial"/>
          <w:bCs/>
          <w:spacing w:val="-3"/>
          <w:sz w:val="22"/>
          <w:szCs w:val="22"/>
        </w:rPr>
      </w:pPr>
      <w:r w:rsidRPr="00D22C45">
        <w:rPr>
          <w:rFonts w:cs="Arial"/>
          <w:sz w:val="22"/>
          <w:szCs w:val="22"/>
          <w:u w:val="single"/>
        </w:rPr>
        <w:t>Cabinet approved</w:t>
      </w:r>
      <w:r w:rsidRPr="00D22C45">
        <w:rPr>
          <w:rFonts w:cs="Arial"/>
          <w:sz w:val="22"/>
          <w:szCs w:val="22"/>
        </w:rPr>
        <w:t xml:space="preserve"> the Personal Property Securities (Ancillary Provisions) Bill 2010 be introduced into the Legislative Assembly.</w:t>
      </w:r>
    </w:p>
    <w:p w:rsidR="006344AC" w:rsidRDefault="006344AC" w:rsidP="000F5328">
      <w:pPr>
        <w:spacing w:before="120"/>
        <w:jc w:val="both"/>
        <w:rPr>
          <w:rFonts w:cs="Arial"/>
          <w:sz w:val="22"/>
          <w:szCs w:val="22"/>
        </w:rPr>
      </w:pPr>
    </w:p>
    <w:p w:rsidR="006344AC" w:rsidRPr="00D22C45" w:rsidRDefault="006344AC" w:rsidP="006344AC">
      <w:pPr>
        <w:keepNext/>
        <w:numPr>
          <w:ilvl w:val="0"/>
          <w:numId w:val="1"/>
        </w:numPr>
        <w:tabs>
          <w:tab w:val="clear" w:pos="720"/>
          <w:tab w:val="left" w:pos="567"/>
        </w:tabs>
        <w:ind w:left="567" w:hanging="567"/>
        <w:jc w:val="both"/>
        <w:rPr>
          <w:rFonts w:cs="Arial"/>
          <w:sz w:val="22"/>
          <w:szCs w:val="22"/>
        </w:rPr>
      </w:pPr>
      <w:r w:rsidRPr="00D22C45">
        <w:rPr>
          <w:rFonts w:cs="Arial"/>
          <w:i/>
          <w:sz w:val="22"/>
          <w:szCs w:val="22"/>
          <w:u w:val="single"/>
        </w:rPr>
        <w:t>Attachments</w:t>
      </w:r>
    </w:p>
    <w:p w:rsidR="006344AC" w:rsidRPr="00DF63D9" w:rsidRDefault="005A122F" w:rsidP="000F5328">
      <w:pPr>
        <w:numPr>
          <w:ilvl w:val="0"/>
          <w:numId w:val="2"/>
        </w:numPr>
        <w:tabs>
          <w:tab w:val="clear" w:pos="720"/>
          <w:tab w:val="left" w:pos="1134"/>
        </w:tabs>
        <w:spacing w:before="120"/>
        <w:ind w:left="1134" w:hanging="567"/>
        <w:jc w:val="both"/>
        <w:rPr>
          <w:rFonts w:cs="Arial"/>
          <w:sz w:val="22"/>
          <w:szCs w:val="22"/>
        </w:rPr>
      </w:pPr>
      <w:hyperlink r:id="rId7" w:history="1">
        <w:r w:rsidR="006344AC" w:rsidRPr="000F5328">
          <w:rPr>
            <w:rStyle w:val="Hyperlink"/>
            <w:rFonts w:cs="Arial"/>
            <w:sz w:val="22"/>
            <w:szCs w:val="22"/>
          </w:rPr>
          <w:t>Personal Property Securities (Ancillary Provisions) Bill 2010</w:t>
        </w:r>
      </w:hyperlink>
    </w:p>
    <w:p w:rsidR="006344AC" w:rsidRPr="00DF63D9" w:rsidRDefault="005A122F" w:rsidP="000F5328">
      <w:pPr>
        <w:numPr>
          <w:ilvl w:val="0"/>
          <w:numId w:val="2"/>
        </w:numPr>
        <w:tabs>
          <w:tab w:val="clear" w:pos="720"/>
          <w:tab w:val="left" w:pos="1134"/>
        </w:tabs>
        <w:spacing w:before="120"/>
        <w:ind w:left="1134" w:hanging="567"/>
        <w:jc w:val="both"/>
        <w:rPr>
          <w:rFonts w:cs="Arial"/>
          <w:sz w:val="22"/>
          <w:szCs w:val="22"/>
        </w:rPr>
      </w:pPr>
      <w:hyperlink r:id="rId8" w:history="1">
        <w:r w:rsidR="006344AC" w:rsidRPr="00EF67F3">
          <w:rPr>
            <w:rStyle w:val="Hyperlink"/>
            <w:rFonts w:cs="Arial"/>
            <w:sz w:val="22"/>
            <w:szCs w:val="22"/>
          </w:rPr>
          <w:t>Explanatory Notes</w:t>
        </w:r>
      </w:hyperlink>
    </w:p>
    <w:sectPr w:rsidR="006344AC" w:rsidRPr="00DF63D9" w:rsidSect="00FE21D6">
      <w:headerReference w:type="default" r:id="rId9"/>
      <w:footerReference w:type="default" r:id="rId10"/>
      <w:headerReference w:type="first" r:id="rId11"/>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48" w:rsidRDefault="00411248">
      <w:r>
        <w:separator/>
      </w:r>
    </w:p>
  </w:endnote>
  <w:endnote w:type="continuationSeparator" w:id="0">
    <w:p w:rsidR="00411248" w:rsidRDefault="0041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F3" w:rsidRPr="001141E1" w:rsidRDefault="00EF67F3" w:rsidP="00FE21D6">
    <w:pPr>
      <w:pStyle w:val="Footer"/>
      <w:tabs>
        <w:tab w:val="right" w:pos="8820"/>
      </w:tabs>
      <w:rPr>
        <w:rFonts w:cs="Arial"/>
        <w:sz w:val="16"/>
        <w:szCs w:val="16"/>
      </w:rPr>
    </w:pPr>
    <w:r w:rsidRPr="001141E1">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48" w:rsidRDefault="00411248">
      <w:r>
        <w:separator/>
      </w:r>
    </w:p>
  </w:footnote>
  <w:footnote w:type="continuationSeparator" w:id="0">
    <w:p w:rsidR="00411248" w:rsidRDefault="0041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F3" w:rsidRPr="000400F9" w:rsidRDefault="001C6E83" w:rsidP="00FE21D6">
    <w:pPr>
      <w:pStyle w:val="Header"/>
      <w:ind w:firstLine="2880"/>
      <w:rPr>
        <w:rFonts w:cs="Arial"/>
        <w:b/>
        <w:sz w:val="22"/>
        <w:szCs w:val="22"/>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F67F3" w:rsidRPr="000400F9">
      <w:rPr>
        <w:rFonts w:cs="Arial"/>
        <w:b/>
        <w:sz w:val="22"/>
        <w:szCs w:val="22"/>
        <w:u w:val="single"/>
      </w:rPr>
      <w:t xml:space="preserve">Cabinet – </w:t>
    </w:r>
    <w:r w:rsidR="00EF67F3">
      <w:rPr>
        <w:rFonts w:cs="Arial"/>
        <w:b/>
        <w:sz w:val="22"/>
        <w:szCs w:val="22"/>
        <w:u w:val="single"/>
      </w:rPr>
      <w:t>month year</w:t>
    </w:r>
  </w:p>
  <w:p w:rsidR="00EF67F3" w:rsidRDefault="00EF67F3" w:rsidP="00FE21D6">
    <w:pPr>
      <w:pStyle w:val="Header"/>
      <w:spacing w:before="120"/>
      <w:rPr>
        <w:rFonts w:cs="Arial"/>
        <w:b/>
        <w:sz w:val="22"/>
        <w:szCs w:val="22"/>
        <w:u w:val="single"/>
      </w:rPr>
    </w:pPr>
    <w:r>
      <w:rPr>
        <w:rFonts w:cs="Arial"/>
        <w:b/>
        <w:sz w:val="22"/>
        <w:szCs w:val="22"/>
        <w:u w:val="single"/>
      </w:rPr>
      <w:t>submission subject</w:t>
    </w:r>
  </w:p>
  <w:p w:rsidR="00EF67F3" w:rsidRDefault="00EF67F3" w:rsidP="00FE21D6">
    <w:pPr>
      <w:pStyle w:val="Header"/>
      <w:spacing w:before="120"/>
      <w:rPr>
        <w:rFonts w:cs="Arial"/>
        <w:b/>
        <w:sz w:val="22"/>
        <w:szCs w:val="22"/>
        <w:u w:val="single"/>
      </w:rPr>
    </w:pPr>
    <w:r>
      <w:rPr>
        <w:rFonts w:cs="Arial"/>
        <w:b/>
        <w:sz w:val="22"/>
        <w:szCs w:val="22"/>
        <w:u w:val="single"/>
      </w:rPr>
      <w:t>Minister/s title</w:t>
    </w:r>
  </w:p>
  <w:p w:rsidR="00EF67F3" w:rsidRPr="00F10DF9" w:rsidRDefault="00EF67F3" w:rsidP="00FE21D6">
    <w:pPr>
      <w:pStyle w:val="Header"/>
      <w:pBdr>
        <w:bottom w:val="single" w:sz="8" w:space="1" w:color="auto"/>
      </w:pBdr>
      <w:spacing w:line="180" w:lineRule="exac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F3" w:rsidRPr="008C2239" w:rsidRDefault="00EF67F3" w:rsidP="00FE21D6">
    <w:pPr>
      <w:pStyle w:val="Header"/>
      <w:ind w:firstLine="2880"/>
      <w:rPr>
        <w:rFonts w:ascii="Times New Roman" w:hAnsi="Times New Roman"/>
        <w:b/>
        <w:u w:val="single"/>
      </w:rPr>
    </w:pPr>
  </w:p>
  <w:p w:rsidR="00EF67F3" w:rsidRPr="00D22C45" w:rsidRDefault="001C6E83" w:rsidP="00FE21D6">
    <w:pPr>
      <w:pStyle w:val="Header"/>
      <w:ind w:firstLine="2880"/>
      <w:rPr>
        <w:rFonts w:cs="Arial"/>
        <w:b/>
        <w:sz w:val="22"/>
        <w:szCs w:val="22"/>
        <w:u w:val="single"/>
      </w:rPr>
    </w:pPr>
    <w:r>
      <w:rPr>
        <w:rFonts w:cs="Arial"/>
        <w:noProof/>
        <w:sz w:val="22"/>
        <w:szCs w:val="2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F67F3" w:rsidRPr="00D22C45">
      <w:rPr>
        <w:rFonts w:cs="Arial"/>
        <w:b/>
        <w:sz w:val="22"/>
        <w:szCs w:val="22"/>
        <w:u w:val="single"/>
      </w:rPr>
      <w:t>Cabinet – August 2010</w:t>
    </w:r>
  </w:p>
  <w:p w:rsidR="00EF67F3" w:rsidRPr="00D22C45" w:rsidRDefault="00EF67F3" w:rsidP="000F5328">
    <w:pPr>
      <w:pStyle w:val="Header"/>
      <w:spacing w:before="120"/>
      <w:rPr>
        <w:rFonts w:cs="Arial"/>
        <w:b/>
        <w:sz w:val="22"/>
        <w:szCs w:val="22"/>
        <w:u w:val="single"/>
      </w:rPr>
    </w:pPr>
    <w:r w:rsidRPr="00D22C45">
      <w:rPr>
        <w:rFonts w:cs="Arial"/>
        <w:b/>
        <w:sz w:val="22"/>
        <w:szCs w:val="22"/>
        <w:u w:val="single"/>
      </w:rPr>
      <w:t>Personal Property Securities (Ancillary Provisions) Bill 2010</w:t>
    </w:r>
  </w:p>
  <w:p w:rsidR="00EF67F3" w:rsidRPr="00D22C45" w:rsidRDefault="00EF67F3" w:rsidP="000F5328">
    <w:pPr>
      <w:pStyle w:val="Header"/>
      <w:spacing w:before="120"/>
      <w:rPr>
        <w:rFonts w:cs="Arial"/>
        <w:b/>
        <w:sz w:val="22"/>
        <w:szCs w:val="22"/>
        <w:u w:val="single"/>
      </w:rPr>
    </w:pPr>
    <w:r w:rsidRPr="00D22C45">
      <w:rPr>
        <w:rFonts w:cs="Arial"/>
        <w:b/>
        <w:sz w:val="22"/>
        <w:szCs w:val="22"/>
        <w:u w:val="single"/>
      </w:rPr>
      <w:t>Minister for Tourism and Fair Trading</w:t>
    </w:r>
  </w:p>
  <w:p w:rsidR="00EF67F3" w:rsidRPr="008C2239" w:rsidRDefault="00EF67F3" w:rsidP="00FE21D6">
    <w:pPr>
      <w:pStyle w:val="Header"/>
      <w:pBdr>
        <w:bottom w:val="single" w:sz="8" w:space="1" w:color="auto"/>
      </w:pBdr>
      <w:spacing w:line="18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639C"/>
    <w:multiLevelType w:val="hybridMultilevel"/>
    <w:tmpl w:val="A45AC084"/>
    <w:lvl w:ilvl="0" w:tplc="1B640B7E">
      <w:start w:val="1"/>
      <w:numFmt w:val="bullet"/>
      <w:lvlText w:val=""/>
      <w:lvlJc w:val="left"/>
      <w:pPr>
        <w:tabs>
          <w:tab w:val="num" w:pos="720"/>
        </w:tabs>
        <w:ind w:left="644" w:hanging="28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AC"/>
    <w:rsid w:val="000F5328"/>
    <w:rsid w:val="00186BC0"/>
    <w:rsid w:val="001C6E83"/>
    <w:rsid w:val="00245496"/>
    <w:rsid w:val="002C382B"/>
    <w:rsid w:val="00300124"/>
    <w:rsid w:val="00346DC6"/>
    <w:rsid w:val="00401AA2"/>
    <w:rsid w:val="00411248"/>
    <w:rsid w:val="00457693"/>
    <w:rsid w:val="005A122F"/>
    <w:rsid w:val="0060550F"/>
    <w:rsid w:val="006344AC"/>
    <w:rsid w:val="00651673"/>
    <w:rsid w:val="00662267"/>
    <w:rsid w:val="00734150"/>
    <w:rsid w:val="00823104"/>
    <w:rsid w:val="009357E6"/>
    <w:rsid w:val="0095677D"/>
    <w:rsid w:val="009C7F49"/>
    <w:rsid w:val="00AA427E"/>
    <w:rsid w:val="00AE7E1C"/>
    <w:rsid w:val="00B72128"/>
    <w:rsid w:val="00BE204F"/>
    <w:rsid w:val="00C669E8"/>
    <w:rsid w:val="00C82A09"/>
    <w:rsid w:val="00CE71A7"/>
    <w:rsid w:val="00D22C45"/>
    <w:rsid w:val="00D40904"/>
    <w:rsid w:val="00DF63D9"/>
    <w:rsid w:val="00E355FA"/>
    <w:rsid w:val="00EC3675"/>
    <w:rsid w:val="00EF67F3"/>
    <w:rsid w:val="00F9679D"/>
    <w:rsid w:val="00FD73F3"/>
    <w:rsid w:val="00FE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AC"/>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44AC"/>
    <w:pPr>
      <w:tabs>
        <w:tab w:val="center" w:pos="4320"/>
        <w:tab w:val="right" w:pos="8640"/>
      </w:tabs>
    </w:pPr>
  </w:style>
  <w:style w:type="paragraph" w:styleId="Footer">
    <w:name w:val="footer"/>
    <w:basedOn w:val="Normal"/>
    <w:rsid w:val="006344AC"/>
    <w:pPr>
      <w:tabs>
        <w:tab w:val="center" w:pos="4320"/>
        <w:tab w:val="right" w:pos="8640"/>
      </w:tabs>
    </w:pPr>
  </w:style>
  <w:style w:type="character" w:styleId="Hyperlink">
    <w:name w:val="Hyperlink"/>
    <w:basedOn w:val="DefaultParagraphFont"/>
    <w:rsid w:val="00401AA2"/>
    <w:rPr>
      <w:color w:val="0000FF"/>
      <w:u w:val="single"/>
    </w:rPr>
  </w:style>
  <w:style w:type="paragraph" w:styleId="BalloonText">
    <w:name w:val="Balloon Text"/>
    <w:basedOn w:val="Normal"/>
    <w:semiHidden/>
    <w:rsid w:val="00823104"/>
    <w:rPr>
      <w:rFonts w:cs="Arial"/>
      <w:sz w:val="16"/>
      <w:szCs w:val="16"/>
    </w:rPr>
  </w:style>
  <w:style w:type="character" w:styleId="FollowedHyperlink">
    <w:name w:val="FollowedHyperlink"/>
    <w:basedOn w:val="DefaultParagraphFont"/>
    <w:rsid w:val="00734150"/>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20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1546</CharactersWithSpaces>
  <SharedDoc>false</SharedDoc>
  <HyperlinkBase>https://www.cabinet.qld.gov.au/documents/2010/Aug/Personal Property Securities Bill 2010/</HyperlinkBase>
  <HLinks>
    <vt:vector size="12" baseType="variant">
      <vt:variant>
        <vt:i4>5963786</vt:i4>
      </vt:variant>
      <vt:variant>
        <vt:i4>3</vt:i4>
      </vt:variant>
      <vt:variant>
        <vt:i4>0</vt:i4>
      </vt:variant>
      <vt:variant>
        <vt:i4>5</vt:i4>
      </vt:variant>
      <vt:variant>
        <vt:lpwstr>Attachments/Exp 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fair_trading,consumer_affairs</cp:keywords>
  <dc:description/>
  <cp:lastModifiedBy/>
  <cp:revision>2</cp:revision>
  <cp:lastPrinted>2010-08-31T02:28:00Z</cp:lastPrinted>
  <dcterms:created xsi:type="dcterms:W3CDTF">2017-10-24T22:18:00Z</dcterms:created>
  <dcterms:modified xsi:type="dcterms:W3CDTF">2018-03-06T01:01:00Z</dcterms:modified>
  <cp:category>Intergovernmental_Agreements,fair_trading,legislation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518455019</vt:i4>
  </property>
  <property fmtid="{D5CDD505-2E9C-101B-9397-08002B2CF9AE}" pid="3" name="_NewReviewCycle">
    <vt:lpwstr/>
  </property>
  <property fmtid="{D5CDD505-2E9C-101B-9397-08002B2CF9AE}" pid="4" name="_ReviewingToolsShownOnce">
    <vt:lpwstr/>
  </property>
</Properties>
</file>